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5B" w:rsidRDefault="00110D5B">
      <w:pPr>
        <w:spacing w:after="185"/>
        <w:ind w:left="-5" w:hanging="10"/>
      </w:pPr>
    </w:p>
    <w:tbl>
      <w:tblPr>
        <w:tblStyle w:val="TableNormal"/>
        <w:tblpPr w:leftFromText="141" w:rightFromText="141" w:vertAnchor="text" w:horzAnchor="margin" w:tblpXSpec="center" w:tblpY="160"/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352"/>
      </w:tblGrid>
      <w:tr w:rsidR="00280EE9" w:rsidRPr="00750E85" w:rsidTr="00435131">
        <w:trPr>
          <w:trHeight w:val="214"/>
        </w:trPr>
        <w:tc>
          <w:tcPr>
            <w:tcW w:w="10033" w:type="dxa"/>
            <w:gridSpan w:val="2"/>
            <w:vAlign w:val="center"/>
          </w:tcPr>
          <w:p w:rsidR="00280EE9" w:rsidRDefault="00280EE9" w:rsidP="00B70368">
            <w:pPr>
              <w:pStyle w:val="TableParagraph"/>
              <w:ind w:left="152" w:right="143"/>
              <w:jc w:val="center"/>
              <w:rPr>
                <w:b/>
                <w:sz w:val="24"/>
              </w:rPr>
            </w:pPr>
          </w:p>
          <w:p w:rsidR="0075516A" w:rsidRPr="0075516A" w:rsidRDefault="0075516A" w:rsidP="0075516A">
            <w:pPr>
              <w:ind w:right="57"/>
              <w:jc w:val="center"/>
              <w:rPr>
                <w:sz w:val="24"/>
                <w:szCs w:val="24"/>
              </w:rPr>
            </w:pPr>
            <w:r w:rsidRPr="00755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KAYSERİ ÜNİVERSİTESİ  </w:t>
            </w:r>
          </w:p>
          <w:p w:rsidR="0075516A" w:rsidRPr="0075516A" w:rsidRDefault="0075516A" w:rsidP="0075516A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LİSANSÜSTÜ EĞİTİM ENSTİTÜSÜ  </w:t>
            </w:r>
          </w:p>
          <w:p w:rsidR="0075516A" w:rsidRPr="0075516A" w:rsidRDefault="0075516A" w:rsidP="000B3B2C">
            <w:pPr>
              <w:pStyle w:val="TableParagraph"/>
              <w:spacing w:line="276" w:lineRule="auto"/>
              <w:ind w:left="152" w:right="143"/>
              <w:jc w:val="center"/>
              <w:rPr>
                <w:b/>
                <w:sz w:val="24"/>
                <w:szCs w:val="24"/>
              </w:rPr>
            </w:pPr>
          </w:p>
          <w:p w:rsidR="00280EE9" w:rsidRPr="0075516A" w:rsidRDefault="00280EE9" w:rsidP="000B3B2C">
            <w:pPr>
              <w:pStyle w:val="TableParagraph"/>
              <w:spacing w:line="276" w:lineRule="auto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75516A">
              <w:rPr>
                <w:b/>
                <w:sz w:val="24"/>
                <w:szCs w:val="24"/>
              </w:rPr>
              <w:t xml:space="preserve">2024-2025 EĞİTİM-ÖĞRETİM YILI </w:t>
            </w:r>
          </w:p>
          <w:p w:rsidR="00280EE9" w:rsidRPr="0075516A" w:rsidRDefault="00280EE9" w:rsidP="000B3B2C">
            <w:pPr>
              <w:pStyle w:val="TableParagraph"/>
              <w:spacing w:line="276" w:lineRule="auto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75516A">
              <w:rPr>
                <w:b/>
                <w:sz w:val="24"/>
                <w:szCs w:val="24"/>
              </w:rPr>
              <w:t xml:space="preserve">BAHAR YARIYILI </w:t>
            </w:r>
          </w:p>
          <w:p w:rsidR="00280EE9" w:rsidRPr="0075516A" w:rsidRDefault="00280EE9" w:rsidP="000B3B2C">
            <w:pPr>
              <w:pStyle w:val="TableParagraph"/>
              <w:spacing w:line="276" w:lineRule="auto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75516A">
              <w:rPr>
                <w:b/>
                <w:sz w:val="24"/>
                <w:szCs w:val="24"/>
              </w:rPr>
              <w:t>ÖĞRENCİ ALIM TAKVİMİ</w:t>
            </w:r>
          </w:p>
          <w:p w:rsidR="00280EE9" w:rsidRPr="00750E85" w:rsidRDefault="00280EE9" w:rsidP="00B70368">
            <w:pPr>
              <w:pStyle w:val="TableParagraph"/>
              <w:ind w:left="152" w:right="143"/>
              <w:jc w:val="center"/>
            </w:pP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Öğrenci Alım İlanının Yayınlanması (Kontenjan/Şartlar)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09 Aralık 2024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Lisansüstü Programlara Öğrenci Alımı Başvuruları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spacing w:line="240" w:lineRule="auto"/>
              <w:ind w:right="1134" w:firstLine="34"/>
            </w:pPr>
            <w:r w:rsidRPr="00FD782E">
              <w:t>30 Aralık 2024 – 03 Ocak 2025</w:t>
            </w:r>
            <w:bookmarkStart w:id="0" w:name="_GoBack"/>
            <w:bookmarkEnd w:id="0"/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Başvuruların Değerlendirilmesi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30 Aralık 2024 – 03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Mülakat Sınavına Girecek Adayların Ön değerlendirme Sonuçları ve İlanı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09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Mülakat Sınav Tarihi ( Yazılı-Sözlü)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13-14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spacing w:before="120" w:after="120"/>
              <w:ind w:left="137"/>
              <w:rPr>
                <w:rFonts w:ascii="Times New Roman" w:hAnsi="Times New Roman" w:cs="Times New Roman"/>
              </w:rPr>
            </w:pPr>
            <w:r w:rsidRPr="00FD782E">
              <w:rPr>
                <w:rFonts w:ascii="Times New Roman" w:hAnsi="Times New Roman" w:cs="Times New Roman"/>
              </w:rPr>
              <w:t xml:space="preserve">Mülakat Sınav Sonuçlarının </w:t>
            </w:r>
            <w:r w:rsidR="00FD782E">
              <w:rPr>
                <w:rFonts w:ascii="Times New Roman" w:hAnsi="Times New Roman" w:cs="Times New Roman"/>
              </w:rPr>
              <w:t xml:space="preserve"> </w:t>
            </w:r>
            <w:r w:rsidRPr="00FD782E">
              <w:rPr>
                <w:rFonts w:ascii="Times New Roman" w:hAnsi="Times New Roman" w:cs="Times New Roman"/>
              </w:rPr>
              <w:t>Değerlendirilmesi</w:t>
            </w:r>
          </w:p>
        </w:tc>
        <w:tc>
          <w:tcPr>
            <w:tcW w:w="6352" w:type="dxa"/>
            <w:vAlign w:val="center"/>
          </w:tcPr>
          <w:p w:rsidR="00B70368" w:rsidRPr="00FD782E" w:rsidRDefault="00FD782E" w:rsidP="00FD782E">
            <w:pPr>
              <w:spacing w:before="120" w:after="12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70368" w:rsidRPr="00FD782E">
              <w:rPr>
                <w:rFonts w:ascii="Times New Roman" w:hAnsi="Times New Roman" w:cs="Times New Roman"/>
              </w:rPr>
              <w:t>15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Son Değerlendirme ile Asil ve Yedek Adayların Açıklanması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16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Kayıt Hakkı Kazanan Adayların Kesin Kayıtları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20-22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Kayıt Hakkı Kazanan Yedek Adayların İlanı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23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Kayıt Hakkı Kazanan Yedek Adayların Kesin Kayıtları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24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Yeni Kayıt Yaptıran Öğrencilere Danışman Ataması  Talebi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27-30 Ocak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spacing w:before="120" w:after="120"/>
              <w:ind w:left="137"/>
              <w:rPr>
                <w:rFonts w:ascii="Times New Roman" w:hAnsi="Times New Roman" w:cs="Times New Roman"/>
              </w:rPr>
            </w:pPr>
            <w:r w:rsidRPr="00FD782E">
              <w:rPr>
                <w:rFonts w:ascii="Times New Roman" w:hAnsi="Times New Roman" w:cs="Times New Roman"/>
              </w:rPr>
              <w:t>Yeni Kayıt Öğrencilerin Danışman Atamalarının Sisteme Girişi</w:t>
            </w:r>
          </w:p>
        </w:tc>
        <w:tc>
          <w:tcPr>
            <w:tcW w:w="6352" w:type="dxa"/>
            <w:vAlign w:val="center"/>
          </w:tcPr>
          <w:p w:rsidR="00B70368" w:rsidRPr="00FD782E" w:rsidRDefault="00B70368" w:rsidP="00FD782E">
            <w:pPr>
              <w:pStyle w:val="TableParagraph"/>
              <w:ind w:right="143" w:firstLine="34"/>
            </w:pPr>
            <w:r w:rsidRPr="00FD782E">
              <w:t>31 Ocak -05 Şubat 2025</w:t>
            </w:r>
          </w:p>
        </w:tc>
      </w:tr>
      <w:tr w:rsidR="00B70368" w:rsidRPr="00750E85" w:rsidTr="00693E19">
        <w:trPr>
          <w:trHeight w:val="746"/>
        </w:trPr>
        <w:tc>
          <w:tcPr>
            <w:tcW w:w="3681" w:type="dxa"/>
            <w:vAlign w:val="center"/>
          </w:tcPr>
          <w:p w:rsidR="00B70368" w:rsidRPr="00FD782E" w:rsidRDefault="00B70368" w:rsidP="00FD782E">
            <w:pPr>
              <w:pStyle w:val="TableParagraph"/>
            </w:pPr>
            <w:r w:rsidRPr="00FD782E">
              <w:t>Ders Kayıt İşlemleri (Üniversite Akademik Takvimi)</w:t>
            </w:r>
          </w:p>
        </w:tc>
        <w:tc>
          <w:tcPr>
            <w:tcW w:w="6352" w:type="dxa"/>
            <w:vAlign w:val="center"/>
          </w:tcPr>
          <w:p w:rsidR="00B70368" w:rsidRPr="00FD782E" w:rsidRDefault="00FD782E" w:rsidP="00FD782E">
            <w:pPr>
              <w:pStyle w:val="TableParagraph"/>
              <w:ind w:left="0" w:right="143" w:firstLine="34"/>
            </w:pPr>
            <w:r>
              <w:t xml:space="preserve"> </w:t>
            </w:r>
            <w:r w:rsidR="00B70368" w:rsidRPr="00FD782E">
              <w:t>10-18 Şubat 2025</w:t>
            </w:r>
          </w:p>
        </w:tc>
      </w:tr>
      <w:tr w:rsidR="00280EE9" w:rsidRPr="00750E85" w:rsidTr="00280EE9">
        <w:trPr>
          <w:trHeight w:val="21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EE9" w:rsidRDefault="00280EE9" w:rsidP="00B70368">
            <w:pPr>
              <w:pStyle w:val="TableParagraph"/>
            </w:pPr>
          </w:p>
          <w:p w:rsidR="00280EE9" w:rsidRDefault="00280EE9" w:rsidP="00B70368">
            <w:pPr>
              <w:pStyle w:val="TableParagraph"/>
            </w:pPr>
          </w:p>
          <w:p w:rsidR="00280EE9" w:rsidRDefault="00280EE9" w:rsidP="00B70368">
            <w:pPr>
              <w:pStyle w:val="TableParagraph"/>
            </w:pPr>
          </w:p>
          <w:p w:rsidR="00280EE9" w:rsidRDefault="00280EE9" w:rsidP="00B70368">
            <w:pPr>
              <w:pStyle w:val="TableParagraph"/>
            </w:pPr>
          </w:p>
          <w:p w:rsidR="00280EE9" w:rsidRDefault="00280EE9" w:rsidP="00B70368">
            <w:pPr>
              <w:pStyle w:val="TableParagraph"/>
            </w:pPr>
          </w:p>
          <w:p w:rsidR="00280EE9" w:rsidRPr="00750E85" w:rsidRDefault="00280EE9" w:rsidP="00B70368">
            <w:pPr>
              <w:pStyle w:val="TableParagraph"/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EE9" w:rsidRDefault="00280EE9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Default="00FD782E" w:rsidP="00B70368">
            <w:pPr>
              <w:pStyle w:val="TableParagraph"/>
              <w:ind w:left="152" w:right="143"/>
              <w:jc w:val="center"/>
            </w:pPr>
          </w:p>
          <w:p w:rsidR="00FD782E" w:rsidRPr="00750E85" w:rsidRDefault="00FD782E" w:rsidP="00B70368">
            <w:pPr>
              <w:pStyle w:val="TableParagraph"/>
              <w:ind w:left="152" w:right="143"/>
              <w:jc w:val="center"/>
            </w:pPr>
          </w:p>
        </w:tc>
      </w:tr>
    </w:tbl>
    <w:p w:rsidR="00110D5B" w:rsidRDefault="00110D5B">
      <w:pPr>
        <w:spacing w:after="185"/>
        <w:ind w:left="-5" w:hanging="10"/>
      </w:pPr>
    </w:p>
    <w:p w:rsidR="00280EE9" w:rsidRDefault="00280EE9">
      <w:pPr>
        <w:spacing w:after="185"/>
        <w:ind w:left="-5" w:hanging="10"/>
      </w:pPr>
    </w:p>
    <w:p w:rsidR="00280EE9" w:rsidRDefault="00280EE9">
      <w:pPr>
        <w:spacing w:after="185"/>
        <w:ind w:left="-5" w:hanging="10"/>
      </w:pPr>
    </w:p>
    <w:p w:rsidR="00280EE9" w:rsidRDefault="00280EE9">
      <w:pPr>
        <w:spacing w:after="185"/>
        <w:ind w:left="-5" w:hanging="10"/>
      </w:pPr>
    </w:p>
    <w:p w:rsidR="00280EE9" w:rsidRDefault="00280EE9">
      <w:pPr>
        <w:spacing w:after="185"/>
        <w:ind w:left="-5" w:hanging="10"/>
      </w:pPr>
    </w:p>
    <w:p w:rsidR="00280EE9" w:rsidRDefault="00280EE9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FD782E" w:rsidRDefault="00FD782E">
      <w:pPr>
        <w:spacing w:after="185"/>
        <w:ind w:left="-5" w:hanging="10"/>
      </w:pPr>
    </w:p>
    <w:p w:rsidR="00110D5B" w:rsidRDefault="00AD5ECB">
      <w:pPr>
        <w:spacing w:after="144"/>
        <w:ind w:left="427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10D5B" w:rsidSect="00CD1679">
      <w:pgSz w:w="11906" w:h="16838"/>
      <w:pgMar w:top="426" w:right="1415" w:bottom="1752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E7E"/>
    <w:multiLevelType w:val="hybridMultilevel"/>
    <w:tmpl w:val="CA467C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B"/>
    <w:rsid w:val="000B3B2C"/>
    <w:rsid w:val="00110D5B"/>
    <w:rsid w:val="002561E9"/>
    <w:rsid w:val="00256BAE"/>
    <w:rsid w:val="00280EE9"/>
    <w:rsid w:val="00396D1F"/>
    <w:rsid w:val="00693E19"/>
    <w:rsid w:val="007058DB"/>
    <w:rsid w:val="0075516A"/>
    <w:rsid w:val="00AD5ECB"/>
    <w:rsid w:val="00B3718F"/>
    <w:rsid w:val="00B70368"/>
    <w:rsid w:val="00CD1679"/>
    <w:rsid w:val="00DB71FE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1469-9BBF-46E0-ACD8-6809555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371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03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368"/>
    <w:pPr>
      <w:widowControl w:val="0"/>
      <w:autoSpaceDE w:val="0"/>
      <w:autoSpaceDN w:val="0"/>
      <w:spacing w:after="0" w:line="221" w:lineRule="exact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Dzeltme">
    <w:name w:val="Revision"/>
    <w:hidden/>
    <w:uiPriority w:val="99"/>
    <w:semiHidden/>
    <w:rsid w:val="00256BA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1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EA27-E02B-40E0-9AD1-1D29133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2024-11-20T10:58:00Z</cp:lastPrinted>
  <dcterms:created xsi:type="dcterms:W3CDTF">2024-11-20T11:11:00Z</dcterms:created>
  <dcterms:modified xsi:type="dcterms:W3CDTF">2024-11-20T11:13:00Z</dcterms:modified>
</cp:coreProperties>
</file>